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EF4E1" w14:textId="77777777" w:rsidR="00A93E89" w:rsidRPr="00F51600" w:rsidRDefault="00A93E89" w:rsidP="00811B63">
      <w:pPr>
        <w:pStyle w:val="Heading4"/>
        <w:pageBreakBefore w:val="0"/>
        <w:spacing w:before="320"/>
      </w:pPr>
      <w:r>
        <w:t>Esfera: citas sobre la resiliencia y los desastres</w:t>
      </w:r>
    </w:p>
    <w:tbl>
      <w:tblPr>
        <w:tblW w:w="0" w:type="auto"/>
        <w:tblBorders>
          <w:top w:val="dashed" w:sz="4" w:space="0" w:color="579305" w:themeColor="accent1"/>
          <w:left w:val="dashed" w:sz="4" w:space="0" w:color="579305" w:themeColor="accent1"/>
          <w:bottom w:val="dashed" w:sz="4" w:space="0" w:color="579305" w:themeColor="accent1"/>
          <w:right w:val="dashed" w:sz="4" w:space="0" w:color="579305" w:themeColor="accent1"/>
          <w:insideH w:val="dashed" w:sz="4" w:space="0" w:color="579305" w:themeColor="accent1"/>
          <w:insideV w:val="dashed" w:sz="4" w:space="0" w:color="579305" w:themeColor="accent1"/>
        </w:tblBorders>
        <w:tblLook w:val="04A0" w:firstRow="1" w:lastRow="0" w:firstColumn="1" w:lastColumn="0" w:noHBand="0" w:noVBand="1"/>
      </w:tblPr>
      <w:tblGrid>
        <w:gridCol w:w="9628"/>
      </w:tblGrid>
      <w:tr w:rsidR="00F51600" w:rsidRPr="002F2B87" w14:paraId="54F32990" w14:textId="77777777" w:rsidTr="00D97E62">
        <w:trPr>
          <w:trHeight w:val="1985"/>
        </w:trPr>
        <w:tc>
          <w:tcPr>
            <w:tcW w:w="9628" w:type="dxa"/>
            <w:shd w:val="clear" w:color="auto" w:fill="auto"/>
            <w:vAlign w:val="center"/>
          </w:tcPr>
          <w:p w14:paraId="32251DC0" w14:textId="72376280" w:rsidR="00F51600" w:rsidRPr="002F2B87" w:rsidRDefault="008006C6" w:rsidP="009D7027">
            <w:pPr>
              <w:pStyle w:val="Largebodytable"/>
            </w:pPr>
            <w:r>
              <w:t>“</w:t>
            </w:r>
            <w:r w:rsidR="00F51600">
              <w:t>La labor de socorro y recuperación debe tener en cuenta también los peligros y vulnerabilidades futuros, a fin de reconstruir comunidades más seguras y pro</w:t>
            </w:r>
            <w:r w:rsidR="00084A7D">
              <w:t>mover una mayor resiliencia.</w:t>
            </w:r>
            <w:r>
              <w:t>”</w:t>
            </w:r>
            <w:r w:rsidR="00084A7D">
              <w:t xml:space="preserve"> p.12</w:t>
            </w:r>
          </w:p>
        </w:tc>
      </w:tr>
      <w:tr w:rsidR="00F51600" w:rsidRPr="002F2B87" w14:paraId="62F34702" w14:textId="77777777" w:rsidTr="00D97E62">
        <w:trPr>
          <w:trHeight w:val="1985"/>
        </w:trPr>
        <w:tc>
          <w:tcPr>
            <w:tcW w:w="9628" w:type="dxa"/>
            <w:shd w:val="clear" w:color="auto" w:fill="auto"/>
            <w:vAlign w:val="center"/>
          </w:tcPr>
          <w:p w14:paraId="0F8E58D9" w14:textId="06D77EF3" w:rsidR="00F51600" w:rsidRPr="002F2B87" w:rsidRDefault="008006C6" w:rsidP="00E80A2F">
            <w:pPr>
              <w:pStyle w:val="Largebodytable"/>
            </w:pPr>
            <w:r>
              <w:t>“</w:t>
            </w:r>
            <w:r w:rsidR="00F51600">
              <w:t>Es esencial preconizar las estrategias que permiten a las personas hacer frente a una situación, y potenciar su resiliencia y su recuperación.</w:t>
            </w:r>
            <w:r>
              <w:t>”</w:t>
            </w:r>
            <w:r w:rsidR="00F51600">
              <w:t xml:space="preserve"> Capítulos técnicos</w:t>
            </w:r>
            <w:r w:rsidR="00084A7D">
              <w:t xml:space="preserve">, p.97, 168, </w:t>
            </w:r>
            <w:r w:rsidR="00E80A2F">
              <w:t>284 y</w:t>
            </w:r>
            <w:r w:rsidR="00084A7D">
              <w:t xml:space="preserve"> 335</w:t>
            </w:r>
          </w:p>
        </w:tc>
      </w:tr>
      <w:tr w:rsidR="00F51600" w:rsidRPr="002F2B87" w14:paraId="2CB822C6" w14:textId="77777777" w:rsidTr="00D97E62">
        <w:trPr>
          <w:trHeight w:val="1985"/>
        </w:trPr>
        <w:tc>
          <w:tcPr>
            <w:tcW w:w="9628" w:type="dxa"/>
            <w:shd w:val="clear" w:color="auto" w:fill="auto"/>
            <w:vAlign w:val="center"/>
          </w:tcPr>
          <w:p w14:paraId="29F81130" w14:textId="4A028DD6" w:rsidR="00F51600" w:rsidRPr="002F2B87" w:rsidRDefault="008006C6" w:rsidP="009D7027">
            <w:pPr>
              <w:pStyle w:val="Largebodytable"/>
            </w:pPr>
            <w:r>
              <w:t>“</w:t>
            </w:r>
            <w:r w:rsidR="00F51600">
              <w:t>La ayuda de socorro tendrá por finalidad satisfacer las necesidades básicas y, además, tratar de reducir en el futuro la vulnerabilidad ante los desastres.</w:t>
            </w:r>
            <w:r>
              <w:t>”</w:t>
            </w:r>
            <w:r w:rsidR="00F51600">
              <w:t xml:space="preserve"> Código de conducta, artículo 8</w:t>
            </w:r>
            <w:r w:rsidR="00E80A2F">
              <w:t>, p.421</w:t>
            </w:r>
          </w:p>
        </w:tc>
      </w:tr>
      <w:tr w:rsidR="00F51600" w:rsidRPr="002F2B87" w14:paraId="330D7100" w14:textId="77777777" w:rsidTr="00D97E62">
        <w:trPr>
          <w:trHeight w:val="1985"/>
        </w:trPr>
        <w:tc>
          <w:tcPr>
            <w:tcW w:w="9628" w:type="dxa"/>
            <w:shd w:val="clear" w:color="auto" w:fill="auto"/>
            <w:vAlign w:val="center"/>
          </w:tcPr>
          <w:p w14:paraId="2F1AD295" w14:textId="6769CC79" w:rsidR="00F51600" w:rsidRPr="002F2B87" w:rsidRDefault="008006C6" w:rsidP="007D705A">
            <w:pPr>
              <w:pStyle w:val="Largebodytable"/>
            </w:pPr>
            <w:r>
              <w:t>“</w:t>
            </w:r>
            <w:r w:rsidR="00F51600">
              <w:t>Las personas tienen derecho a una asis</w:t>
            </w:r>
            <w:r w:rsidR="007D705A">
              <w:t xml:space="preserve">tencia alimentaria humanitaria </w:t>
            </w:r>
            <w:r w:rsidR="00F51600">
              <w:t>que asegure su supervivencia, defienda su dignidad, y evite, en la medida de lo posible, el deterioro de sus bienes, y fomente su resiliencia.</w:t>
            </w:r>
            <w:r>
              <w:t>”</w:t>
            </w:r>
            <w:r w:rsidR="00F51600">
              <w:t xml:space="preserve"> Norma 1 sobre seguridad alimentaria: seguridad alimentaria general</w:t>
            </w:r>
            <w:r w:rsidR="00E80A2F">
              <w:t>, p.200</w:t>
            </w:r>
          </w:p>
        </w:tc>
      </w:tr>
    </w:tbl>
    <w:p w14:paraId="25B4E2CB" w14:textId="77777777" w:rsidR="00A93E89" w:rsidRDefault="00A93E89" w:rsidP="00F51600">
      <w:pPr>
        <w:pStyle w:val="Heading4"/>
      </w:pPr>
      <w:r>
        <w:lastRenderedPageBreak/>
        <w:t>Juego de definiciones</w:t>
      </w:r>
    </w:p>
    <w:tbl>
      <w:tblPr>
        <w:tblW w:w="0" w:type="auto"/>
        <w:tblBorders>
          <w:top w:val="dashed" w:sz="6" w:space="0" w:color="579305" w:themeColor="accent1"/>
          <w:left w:val="dashed" w:sz="6" w:space="0" w:color="579305" w:themeColor="accent1"/>
          <w:bottom w:val="dashed" w:sz="6" w:space="0" w:color="579305" w:themeColor="accent1"/>
          <w:right w:val="dashed" w:sz="6" w:space="0" w:color="579305" w:themeColor="accent1"/>
          <w:insideH w:val="dashed" w:sz="6" w:space="0" w:color="579305" w:themeColor="accent1"/>
          <w:insideV w:val="dashed" w:sz="6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409"/>
      </w:tblGrid>
      <w:tr w:rsidR="00084A7D" w:rsidRPr="00A93E89" w14:paraId="0C29CADA" w14:textId="77777777" w:rsidTr="001141A3">
        <w:trPr>
          <w:cantSplit/>
          <w:tblHeader/>
        </w:trPr>
        <w:tc>
          <w:tcPr>
            <w:tcW w:w="4219" w:type="dxa"/>
            <w:shd w:val="clear" w:color="auto" w:fill="E9F7CB"/>
          </w:tcPr>
          <w:p w14:paraId="276D5EC3" w14:textId="77777777" w:rsidR="00A93E89" w:rsidRPr="008721BD" w:rsidRDefault="006D149B" w:rsidP="009D7027">
            <w:pPr>
              <w:pStyle w:val="tableheading"/>
            </w:pPr>
            <w:r w:rsidRPr="008721BD">
              <w:t>Término</w:t>
            </w:r>
          </w:p>
        </w:tc>
        <w:tc>
          <w:tcPr>
            <w:tcW w:w="5409" w:type="dxa"/>
            <w:shd w:val="clear" w:color="auto" w:fill="E9F7CB"/>
          </w:tcPr>
          <w:p w14:paraId="29D93097" w14:textId="77777777" w:rsidR="00A93E89" w:rsidRPr="008721BD" w:rsidRDefault="006D149B" w:rsidP="009D7027">
            <w:pPr>
              <w:pStyle w:val="tableheading"/>
            </w:pPr>
            <w:r w:rsidRPr="008721BD">
              <w:t>Definición</w:t>
            </w:r>
          </w:p>
        </w:tc>
      </w:tr>
      <w:tr w:rsidR="00A93E89" w:rsidRPr="00A93E89" w14:paraId="215EBAE7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3A57D74D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Riesgo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56EB7119" w14:textId="654E446E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La combinación de la probabilidad de que se produzca un evento y sus consecuencias negativas (UNISDR 2007)</w:t>
            </w:r>
          </w:p>
        </w:tc>
      </w:tr>
      <w:tr w:rsidR="00A93E89" w:rsidRPr="00A93E89" w14:paraId="5BA291FC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4A34FC32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Choque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6DBBE08E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Un evento repentino que tiene un efecto significativo (normalmente negativo) sobre los medios de subsistencia. Los choques son irregulares y varían en intensidad, e incluyen eventos tales como desastres naturales, conflictos civiles, pérdida de empleo, colapso de los precios de las cosechas para los agricultores, etc. (DFID - Departamento de Desarrollo internacional del Reino Unido, 2001)</w:t>
            </w:r>
          </w:p>
        </w:tc>
      </w:tr>
      <w:tr w:rsidR="00A93E89" w:rsidRPr="00A93E89" w14:paraId="372F278B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06C747B1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Vulnerabilidad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26160E4B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Los factores que hacen susceptibles los elementos expuestos</w:t>
            </w:r>
          </w:p>
        </w:tc>
      </w:tr>
      <w:tr w:rsidR="00A93E89" w:rsidRPr="00A93E89" w14:paraId="02651E07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270CC03C" w14:textId="1CB9AF4C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Capacidad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2F37953D" w14:textId="5423691D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La capacidad es la combinación de todas las fortalezas, los atributos y los recursos disponibles dentro de una ubicación de amenaza que mejoran la resistencia contra los choques y pueden utilizarse para recuperarse de los choques. La capacidad puede incluir:</w:t>
            </w:r>
            <w:r w:rsidR="008006C6">
              <w:t xml:space="preserve"> </w:t>
            </w:r>
            <w:r>
              <w:t>capital humano, físico, natural, económico y social</w:t>
            </w:r>
          </w:p>
        </w:tc>
      </w:tr>
      <w:tr w:rsidR="00A93E89" w:rsidRPr="00A93E89" w14:paraId="447EDB0B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7C3DB65A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Reducción del riesgo de desastres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6689834C" w14:textId="0AFA22BA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El concepto y la práctica de reducir el riesgo de desastres mediante esfuerzos sistemáticos dirigidos al análisis y a la gestión de los factores causales de los desastres, lo que incluye la reducción del</w:t>
            </w:r>
            <w:r w:rsidR="008006C6">
              <w:t xml:space="preserve"> </w:t>
            </w:r>
            <w:r>
              <w:t>grado de exposición a las amenazas, la disminución de la vulnerabilidad de la población y la propiedad, una gestión sensata de los suelos y del medio ambiente, y el mejoramiento de la</w:t>
            </w:r>
            <w:r w:rsidR="008006C6">
              <w:t xml:space="preserve"> </w:t>
            </w:r>
            <w:r>
              <w:t>preparación ante los eventos adversos (Terminología RRD, UNISDR 2009)</w:t>
            </w:r>
          </w:p>
        </w:tc>
      </w:tr>
      <w:tr w:rsidR="00A93E89" w:rsidRPr="00A93E89" w14:paraId="63A5CBB0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51A60611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Fórmula del riesgo de desastres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6943A88B" w14:textId="198E1734" w:rsidR="00A93E89" w:rsidRPr="00A93E89" w:rsidRDefault="006D149B" w:rsidP="007D705A">
            <w:pPr>
              <w:pStyle w:val="table"/>
              <w:tabs>
                <w:tab w:val="left" w:pos="2869"/>
              </w:tabs>
              <w:spacing w:before="160" w:after="160"/>
              <w:ind w:left="120" w:right="120"/>
            </w:pPr>
            <w:r>
              <w:t xml:space="preserve">Riesgo de desastres = </w:t>
            </w:r>
            <w:r w:rsidRPr="008721BD">
              <w:rPr>
                <w:u w:val="single"/>
              </w:rPr>
              <w:t>Amenazas * Vulnerabilidad</w:t>
            </w:r>
            <w:r>
              <w:br/>
            </w:r>
            <w:r>
              <w:tab/>
            </w:r>
            <w:r w:rsidR="008006C6">
              <w:t xml:space="preserve"> </w:t>
            </w:r>
            <w:r>
              <w:t>Capacidad</w:t>
            </w:r>
          </w:p>
        </w:tc>
      </w:tr>
      <w:tr w:rsidR="00A93E89" w:rsidRPr="00A93E89" w14:paraId="3BB44512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6A840E0E" w14:textId="77777777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lastRenderedPageBreak/>
              <w:t>Evaluación de las capacidades y vulnerabilidad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671C173C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Un proceso en el que se identifican las vulnerabilidades que son susceptibles a los efectos dañinos de una amenaza o un desastre y la capacidad existente que puede explotarse para mejorar la resiliencia ante las amenazas</w:t>
            </w:r>
          </w:p>
        </w:tc>
      </w:tr>
      <w:tr w:rsidR="00A93E89" w:rsidRPr="00A93E89" w14:paraId="53EFA2AA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0DCA8913" w14:textId="1A86A6DE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Gestión del riesgo de desastres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2DF966F5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El proceso sistemático de utilizar directrices administrativas, organizaciones, destrezas y capacidades operativas para ejecutar</w:t>
            </w:r>
            <w:r w:rsidR="007305B4">
              <w:t xml:space="preserve"> estrategias,</w:t>
            </w:r>
            <w:r>
              <w:t xml:space="preserve"> políticas y fortalecer las capacidades de afrontamiento, con el fin de reducir el impacto adverso de las amenazas naturales y la posibilidad de que ocurra un desastre (Terminología RRD, </w:t>
            </w:r>
            <w:proofErr w:type="spellStart"/>
            <w:r>
              <w:t>UNISDr</w:t>
            </w:r>
            <w:proofErr w:type="spellEnd"/>
            <w:r>
              <w:t xml:space="preserve"> 2009)</w:t>
            </w:r>
          </w:p>
        </w:tc>
      </w:tr>
      <w:tr w:rsidR="00A93E89" w:rsidRPr="00A93E89" w14:paraId="62301029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2B402F8C" w14:textId="3ABC453A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Resiliencia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586CD4E4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 xml:space="preserve">La resiliencia es la capacidad de </w:t>
            </w:r>
            <w:r w:rsidR="007305B4">
              <w:t>una familia</w:t>
            </w:r>
            <w:r>
              <w:t xml:space="preserve">, una comunidad o una nación de absorber, adaptarse y recuperarse de los choques, mientras se adapta de forma positiva y transforma sus estructuras y medios de vida frente al estrés, los cambios y la incertidumbre a largo plazo (OCDE 2013). </w:t>
            </w:r>
          </w:p>
        </w:tc>
      </w:tr>
      <w:tr w:rsidR="00A93E89" w:rsidRPr="00A93E89" w14:paraId="3AA35338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68E8CCDC" w14:textId="63B88CD9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 xml:space="preserve">Capacidad </w:t>
            </w:r>
            <w:proofErr w:type="spellStart"/>
            <w:r w:rsidRPr="007D705A">
              <w:rPr>
                <w:sz w:val="22"/>
              </w:rPr>
              <w:t>absortiva</w:t>
            </w:r>
            <w:proofErr w:type="spellEnd"/>
          </w:p>
        </w:tc>
        <w:tc>
          <w:tcPr>
            <w:tcW w:w="5409" w:type="dxa"/>
            <w:shd w:val="clear" w:color="auto" w:fill="auto"/>
            <w:vAlign w:val="center"/>
          </w:tcPr>
          <w:p w14:paraId="4607F734" w14:textId="3B219D9A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La habilidad de un sistema para prepararse, mitigar o prevenir los efectos de eventos negativos utilizando respuestas de afrontamiento predeterminadas</w:t>
            </w:r>
            <w:r w:rsidR="008006C6">
              <w:t xml:space="preserve"> </w:t>
            </w:r>
            <w:r>
              <w:t>a fin de preservar y restablecer estructuras y funciones básicas esenciales. (OCDE 2013)</w:t>
            </w:r>
          </w:p>
        </w:tc>
      </w:tr>
      <w:tr w:rsidR="00A93E89" w:rsidRPr="00A93E89" w14:paraId="2280E065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26BC5034" w14:textId="3A004550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Capacidad adaptiva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215DB1F6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La habilidad de un sistema de ajustar, modificar o cambiar sus características y acciones para moderar daño potencial y futuro, y para aprovechar las oportunidades, todo a fin de continuar funcionando sin grandes cambios cualitativos de función o identidad estructural. (OCDE 2013)</w:t>
            </w:r>
          </w:p>
        </w:tc>
      </w:tr>
      <w:tr w:rsidR="00A93E89" w:rsidRPr="00A93E89" w14:paraId="192CF7B7" w14:textId="77777777" w:rsidTr="001141A3">
        <w:trPr>
          <w:cantSplit/>
          <w:trHeight w:val="1701"/>
        </w:trPr>
        <w:tc>
          <w:tcPr>
            <w:tcW w:w="4219" w:type="dxa"/>
            <w:shd w:val="clear" w:color="auto" w:fill="auto"/>
            <w:vAlign w:val="center"/>
          </w:tcPr>
          <w:p w14:paraId="452D34BE" w14:textId="376FD7CB" w:rsidR="00A93E89" w:rsidRPr="007D705A" w:rsidRDefault="00A93E89" w:rsidP="007D705A">
            <w:pPr>
              <w:pStyle w:val="tableheading"/>
              <w:spacing w:before="160" w:after="160"/>
              <w:ind w:left="120" w:right="120"/>
              <w:jc w:val="center"/>
              <w:rPr>
                <w:sz w:val="22"/>
              </w:rPr>
            </w:pPr>
            <w:r w:rsidRPr="007D705A">
              <w:rPr>
                <w:sz w:val="22"/>
              </w:rPr>
              <w:t>Capacidad transformativa</w:t>
            </w:r>
          </w:p>
        </w:tc>
        <w:tc>
          <w:tcPr>
            <w:tcW w:w="5409" w:type="dxa"/>
            <w:shd w:val="clear" w:color="auto" w:fill="auto"/>
            <w:vAlign w:val="center"/>
          </w:tcPr>
          <w:p w14:paraId="724D43BF" w14:textId="77777777" w:rsidR="00A93E89" w:rsidRPr="00A93E89" w:rsidRDefault="00A93E89" w:rsidP="007D705A">
            <w:pPr>
              <w:pStyle w:val="table"/>
              <w:spacing w:before="160" w:after="160"/>
              <w:ind w:left="120" w:right="120"/>
            </w:pPr>
            <w:r>
              <w:t>La habilidad de crear un sistema fundamentalmente nuevo en situaciones en las que las estructuras ecológicas, económicas o sociales hacen que el sistema existente sea insostenible. (OCDE 2013)</w:t>
            </w:r>
          </w:p>
        </w:tc>
      </w:tr>
    </w:tbl>
    <w:p w14:paraId="6D27EEBC" w14:textId="77777777" w:rsidR="00A93E89" w:rsidRDefault="006D149B" w:rsidP="005E2F76">
      <w:pPr>
        <w:pStyle w:val="Heading4"/>
        <w:tabs>
          <w:tab w:val="clear" w:pos="9356"/>
        </w:tabs>
      </w:pPr>
      <w:r>
        <w:lastRenderedPageBreak/>
        <w:t>Orientación acerca de dónde encontrar información en el Manual para cada grupo</w:t>
      </w:r>
    </w:p>
    <w:tbl>
      <w:tblPr>
        <w:tblW w:w="0" w:type="auto"/>
        <w:tblBorders>
          <w:top w:val="dashed" w:sz="4" w:space="0" w:color="579305" w:themeColor="accent1"/>
          <w:left w:val="dashed" w:sz="4" w:space="0" w:color="579305" w:themeColor="accent1"/>
          <w:bottom w:val="dashed" w:sz="4" w:space="0" w:color="579305" w:themeColor="accent1"/>
          <w:right w:val="dashed" w:sz="4" w:space="0" w:color="579305" w:themeColor="accent1"/>
          <w:insideH w:val="dashed" w:sz="4" w:space="0" w:color="579305" w:themeColor="accent1"/>
          <w:insideV w:val="dashed" w:sz="4" w:space="0" w:color="579305" w:themeColor="accent1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09"/>
        <w:gridCol w:w="7819"/>
      </w:tblGrid>
      <w:tr w:rsidR="00084A7D" w:rsidRPr="00A93E89" w14:paraId="75AB5FA7" w14:textId="77777777" w:rsidTr="00D97E62">
        <w:trPr>
          <w:cantSplit/>
          <w:tblHeader/>
        </w:trPr>
        <w:tc>
          <w:tcPr>
            <w:tcW w:w="1809" w:type="dxa"/>
            <w:shd w:val="clear" w:color="auto" w:fill="E9F7CB"/>
            <w:vAlign w:val="center"/>
          </w:tcPr>
          <w:p w14:paraId="2FFE9889" w14:textId="77777777" w:rsidR="006D149B" w:rsidRPr="008721BD" w:rsidRDefault="006D149B" w:rsidP="009D7027">
            <w:pPr>
              <w:pStyle w:val="tableheading"/>
            </w:pPr>
            <w:r w:rsidRPr="008721BD">
              <w:t>Grupo</w:t>
            </w:r>
          </w:p>
        </w:tc>
        <w:tc>
          <w:tcPr>
            <w:tcW w:w="7819" w:type="dxa"/>
            <w:shd w:val="clear" w:color="auto" w:fill="E9F7CB"/>
            <w:vAlign w:val="center"/>
          </w:tcPr>
          <w:p w14:paraId="552E8B85" w14:textId="77777777" w:rsidR="006D149B" w:rsidRPr="008721BD" w:rsidRDefault="006D149B" w:rsidP="009D7027">
            <w:pPr>
              <w:pStyle w:val="tableheading"/>
            </w:pPr>
            <w:r w:rsidRPr="008721BD">
              <w:t>Referencia</w:t>
            </w:r>
          </w:p>
        </w:tc>
      </w:tr>
      <w:tr w:rsidR="006D149B" w:rsidRPr="00A93E89" w14:paraId="21728CA1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4A8190EA" w14:textId="77777777" w:rsidR="006D149B" w:rsidRPr="008721BD" w:rsidRDefault="006D149B" w:rsidP="009D7027">
            <w:pPr>
              <w:pStyle w:val="tableheading"/>
            </w:pPr>
            <w:r w:rsidRPr="008721BD">
              <w:t>Mitigación y prevención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185BB060" w14:textId="77777777" w:rsidR="00A001DC" w:rsidRDefault="006D149B" w:rsidP="00ED0A28">
            <w:pPr>
              <w:pStyle w:val="table"/>
            </w:pPr>
            <w:bookmarkStart w:id="0" w:name="_GoBack"/>
            <w:r>
              <w:t xml:space="preserve">Ejemplos de cómo Esfera ofrece orientación acerca de la mitigación y la </w:t>
            </w:r>
          </w:p>
          <w:p w14:paraId="67A1359A" w14:textId="108A17E3" w:rsidR="006D149B" w:rsidRPr="006D149B" w:rsidRDefault="006D149B" w:rsidP="00ED0A28">
            <w:pPr>
              <w:pStyle w:val="table"/>
            </w:pPr>
            <w:r>
              <w:t>prevención</w:t>
            </w:r>
          </w:p>
          <w:bookmarkEnd w:id="0"/>
          <w:p w14:paraId="2E92318F" w14:textId="77777777" w:rsidR="006D149B" w:rsidRPr="006D149B" w:rsidRDefault="006D149B" w:rsidP="005E16B2">
            <w:pPr>
              <w:pStyle w:val="tablebullet"/>
              <w:spacing w:after="60"/>
            </w:pPr>
            <w:r>
              <w:t>p.21 Carta Humanitaria</w:t>
            </w:r>
          </w:p>
          <w:p w14:paraId="398401E8" w14:textId="77777777" w:rsidR="006D149B" w:rsidRPr="006D149B" w:rsidRDefault="006D149B" w:rsidP="005E16B2">
            <w:pPr>
              <w:pStyle w:val="tablebullet"/>
              <w:spacing w:after="60"/>
            </w:pPr>
            <w:r>
              <w:t>Principios de protección 1 y 3</w:t>
            </w:r>
          </w:p>
          <w:p w14:paraId="1849FBA6" w14:textId="2DCD25A3" w:rsidR="006D149B" w:rsidRPr="006D149B" w:rsidRDefault="006D149B" w:rsidP="005E16B2">
            <w:pPr>
              <w:pStyle w:val="tablebullet"/>
              <w:spacing w:after="60"/>
            </w:pPr>
            <w:r>
              <w:t xml:space="preserve">Tema transversal, </w:t>
            </w:r>
            <w:r w:rsidR="008006C6">
              <w:t>“</w:t>
            </w:r>
            <w:r>
              <w:t>Reducción del riesgo de desastre</w:t>
            </w:r>
            <w:r w:rsidR="008006C6">
              <w:t>”</w:t>
            </w:r>
            <w:r w:rsidR="007F1427">
              <w:t>, p 15</w:t>
            </w:r>
          </w:p>
          <w:p w14:paraId="6947C507" w14:textId="77777777" w:rsidR="006D149B" w:rsidRPr="006D149B" w:rsidRDefault="006D149B" w:rsidP="005E16B2">
            <w:pPr>
              <w:pStyle w:val="tablebullet"/>
              <w:spacing w:after="60"/>
            </w:pPr>
            <w:r>
              <w:t>Capítulos técnicos: Abastecimiento de agua, saneamiento</w:t>
            </w:r>
            <w:r w:rsidR="007F1427">
              <w:t xml:space="preserve"> y promoción de la higiene, p.99</w:t>
            </w:r>
            <w:r w:rsidR="006660F8">
              <w:t>; Nota de orientación 4, p.107</w:t>
            </w:r>
            <w:r>
              <w:t xml:space="preserve">; Norma 1 sobre lucha </w:t>
            </w:r>
            <w:proofErr w:type="spellStart"/>
            <w:r>
              <w:t>antivectorial</w:t>
            </w:r>
            <w:proofErr w:type="spellEnd"/>
            <w:r>
              <w:t xml:space="preserve">, </w:t>
            </w:r>
            <w:r w:rsidR="009F2B4B">
              <w:t>p.126</w:t>
            </w:r>
          </w:p>
          <w:p w14:paraId="015E8074" w14:textId="77777777" w:rsidR="006D149B" w:rsidRPr="006D149B" w:rsidRDefault="00DD5C17" w:rsidP="005E16B2">
            <w:pPr>
              <w:pStyle w:val="tablebullet"/>
              <w:spacing w:after="60"/>
            </w:pPr>
            <w:r>
              <w:t>p.196</w:t>
            </w:r>
            <w:r w:rsidR="006D149B">
              <w:t xml:space="preserve"> Nutrición</w:t>
            </w:r>
          </w:p>
        </w:tc>
      </w:tr>
      <w:tr w:rsidR="006D149B" w:rsidRPr="00A93E89" w14:paraId="50DECE37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4289AF97" w14:textId="77777777" w:rsidR="006D149B" w:rsidRPr="008721BD" w:rsidRDefault="006D149B" w:rsidP="009D7027">
            <w:pPr>
              <w:pStyle w:val="tableheading"/>
            </w:pPr>
            <w:r w:rsidRPr="008721BD">
              <w:t>Preparación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3722148D" w14:textId="77777777" w:rsidR="006D149B" w:rsidRPr="006D149B" w:rsidRDefault="00740DE3" w:rsidP="005E16B2">
            <w:pPr>
              <w:pStyle w:val="tablebullet"/>
              <w:spacing w:after="60"/>
            </w:pPr>
            <w:r>
              <w:t>p.5 y 10</w:t>
            </w:r>
            <w:r w:rsidR="006D149B">
              <w:t xml:space="preserve"> Introducción</w:t>
            </w:r>
          </w:p>
          <w:p w14:paraId="317B3B8B" w14:textId="77777777" w:rsidR="006D149B" w:rsidRPr="006D149B" w:rsidRDefault="00BA755A" w:rsidP="005E16B2">
            <w:pPr>
              <w:pStyle w:val="tablebullet"/>
              <w:spacing w:after="60"/>
            </w:pPr>
            <w:r>
              <w:t>p.15</w:t>
            </w:r>
            <w:r w:rsidR="006D149B">
              <w:t xml:space="preserve"> Tema transversal, Reducción del riesgo de desastre</w:t>
            </w:r>
          </w:p>
          <w:p w14:paraId="5FA80090" w14:textId="77777777" w:rsidR="006D149B" w:rsidRPr="006D149B" w:rsidRDefault="00BA755A" w:rsidP="005E16B2">
            <w:pPr>
              <w:pStyle w:val="tablebullet"/>
              <w:spacing w:after="60"/>
            </w:pPr>
            <w:r>
              <w:t>p.58</w:t>
            </w:r>
            <w:r w:rsidR="006D149B">
              <w:t xml:space="preserve"> Vulnerabilidad</w:t>
            </w:r>
          </w:p>
          <w:p w14:paraId="4B2A6F93" w14:textId="77777777" w:rsidR="006D149B" w:rsidRPr="006D149B" w:rsidRDefault="006A2EB6" w:rsidP="005E16B2">
            <w:pPr>
              <w:pStyle w:val="tablebullet"/>
              <w:spacing w:after="60"/>
            </w:pPr>
            <w:r>
              <w:t>p.68</w:t>
            </w:r>
            <w:r w:rsidR="006D149B">
              <w:t xml:space="preserve"> No</w:t>
            </w:r>
            <w:r w:rsidR="00914965">
              <w:t>rma esencial 3, Evaluación; p.75</w:t>
            </w:r>
            <w:r w:rsidR="006D149B">
              <w:t xml:space="preserve"> Norma esen</w:t>
            </w:r>
            <w:r w:rsidR="00F6032E">
              <w:t>cial 4, Diseño y respuesta; p.82</w:t>
            </w:r>
            <w:r w:rsidR="006D149B">
              <w:t xml:space="preserve"> Norma esencial 6, Desempeño de trabajadores humanitarios</w:t>
            </w:r>
          </w:p>
          <w:p w14:paraId="36073D62" w14:textId="77777777" w:rsidR="006D149B" w:rsidRPr="006D149B" w:rsidRDefault="008454CA" w:rsidP="005E16B2">
            <w:pPr>
              <w:pStyle w:val="tablebullet"/>
              <w:spacing w:after="60"/>
            </w:pPr>
            <w:r>
              <w:t>p.90 y 9</w:t>
            </w:r>
            <w:r w:rsidR="006D149B">
              <w:t>5, repetidos en la introducción a cada capítulo técnico</w:t>
            </w:r>
          </w:p>
          <w:p w14:paraId="4ECAB06B" w14:textId="77777777" w:rsidR="006D149B" w:rsidRPr="006D149B" w:rsidRDefault="00740DE3" w:rsidP="005E16B2">
            <w:pPr>
              <w:pStyle w:val="tablebullet"/>
              <w:spacing w:after="60"/>
            </w:pPr>
            <w:r>
              <w:t xml:space="preserve">p.360 </w:t>
            </w:r>
            <w:r w:rsidR="006D149B">
              <w:t>Salud</w:t>
            </w:r>
          </w:p>
        </w:tc>
      </w:tr>
      <w:tr w:rsidR="006D149B" w:rsidRPr="00A93E89" w14:paraId="16D78E4F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0E99E98D" w14:textId="77777777" w:rsidR="006D149B" w:rsidRPr="008721BD" w:rsidRDefault="006D149B" w:rsidP="009D7027">
            <w:pPr>
              <w:pStyle w:val="tableheading"/>
            </w:pPr>
            <w:r w:rsidRPr="008721BD">
              <w:t xml:space="preserve">Predicción y alerta temprana 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41A18A55" w14:textId="77777777" w:rsidR="006D149B" w:rsidRPr="006D149B" w:rsidRDefault="001D2A1A" w:rsidP="005E16B2">
            <w:pPr>
              <w:pStyle w:val="tablebullet"/>
              <w:spacing w:after="60"/>
            </w:pPr>
            <w:r>
              <w:t>p.68</w:t>
            </w:r>
            <w:r w:rsidR="006D149B">
              <w:t xml:space="preserve"> No</w:t>
            </w:r>
            <w:r>
              <w:t>rma esencial 3, Evaluación; p.75</w:t>
            </w:r>
            <w:r w:rsidR="006D149B">
              <w:t xml:space="preserve"> Norma esencial 4, Diseño y respuesta</w:t>
            </w:r>
          </w:p>
          <w:p w14:paraId="6D44BCFD" w14:textId="77777777" w:rsidR="006D149B" w:rsidRPr="006D149B" w:rsidRDefault="00F63AA0" w:rsidP="005E16B2">
            <w:pPr>
              <w:pStyle w:val="tablebullet"/>
              <w:spacing w:after="60"/>
            </w:pPr>
            <w:r>
              <w:t>p.95</w:t>
            </w:r>
            <w:r w:rsidR="006D149B">
              <w:t xml:space="preserve"> Capítulo técnico, Abastecimiento de agua, saneamiento y promoción de la higiene, repetido en la introducción de cada capítulo técnico</w:t>
            </w:r>
          </w:p>
          <w:p w14:paraId="01131526" w14:textId="77777777" w:rsidR="006D149B" w:rsidRPr="006D149B" w:rsidRDefault="00AB3AC4" w:rsidP="005E16B2">
            <w:pPr>
              <w:pStyle w:val="tablebullet"/>
              <w:spacing w:after="60"/>
            </w:pPr>
            <w:r>
              <w:t>p.172</w:t>
            </w:r>
            <w:r w:rsidR="006D149B">
              <w:t xml:space="preserve"> Seguridad alimentaria; p.1</w:t>
            </w:r>
            <w:r w:rsidR="003020D1">
              <w:t>75</w:t>
            </w:r>
            <w:r w:rsidR="006D149B">
              <w:t xml:space="preserve"> Nota de orientación 1, Nutrición</w:t>
            </w:r>
          </w:p>
          <w:p w14:paraId="541F012F" w14:textId="77777777" w:rsidR="006D149B" w:rsidRPr="006D149B" w:rsidRDefault="00FE5F25" w:rsidP="005E16B2">
            <w:pPr>
              <w:pStyle w:val="tablebullet"/>
              <w:spacing w:after="60"/>
            </w:pPr>
            <w:r>
              <w:t>p.348</w:t>
            </w:r>
            <w:r w:rsidR="006D149B">
              <w:t xml:space="preserve"> acerca de la Gestión de la información sobre salud</w:t>
            </w:r>
          </w:p>
          <w:p w14:paraId="447D52A0" w14:textId="77777777" w:rsidR="006D149B" w:rsidRPr="006D149B" w:rsidRDefault="00576642" w:rsidP="005E16B2">
            <w:pPr>
              <w:pStyle w:val="tablebullet"/>
              <w:spacing w:after="60"/>
            </w:pPr>
            <w:r>
              <w:t>p.362</w:t>
            </w:r>
            <w:r w:rsidR="006D149B">
              <w:t xml:space="preserve"> Nota de orientación acerca del sistema de alerta temprana para la detección de brotes</w:t>
            </w:r>
          </w:p>
        </w:tc>
      </w:tr>
      <w:tr w:rsidR="006D149B" w:rsidRPr="00A93E89" w14:paraId="5113CF0C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667B196E" w14:textId="77777777" w:rsidR="006D149B" w:rsidRPr="008721BD" w:rsidRDefault="006D149B" w:rsidP="009D7027">
            <w:pPr>
              <w:pStyle w:val="tableheading"/>
            </w:pPr>
            <w:r w:rsidRPr="008721BD">
              <w:t>Evaluación del impacto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1B8B7BA9" w14:textId="77777777" w:rsidR="006D149B" w:rsidRPr="006D149B" w:rsidRDefault="006D149B" w:rsidP="005E16B2">
            <w:pPr>
              <w:pStyle w:val="tablebullet"/>
              <w:spacing w:after="60"/>
            </w:pPr>
            <w:r>
              <w:t xml:space="preserve">Guía Esfera </w:t>
            </w:r>
            <w:r w:rsidR="00A035E7">
              <w:t>en</w:t>
            </w:r>
            <w:r w:rsidR="00740DE3">
              <w:t xml:space="preserve"> </w:t>
            </w:r>
            <w:r>
              <w:t>evaluaciones</w:t>
            </w:r>
          </w:p>
        </w:tc>
      </w:tr>
      <w:tr w:rsidR="006D149B" w:rsidRPr="00A93E89" w14:paraId="06160E9D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7FFAD23A" w14:textId="77777777" w:rsidR="006D149B" w:rsidRPr="008721BD" w:rsidRDefault="006D149B" w:rsidP="009D7027">
            <w:pPr>
              <w:pStyle w:val="tableheading"/>
            </w:pPr>
            <w:r w:rsidRPr="008721BD">
              <w:t>Respuesta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545FF73A" w14:textId="77777777" w:rsidR="006D149B" w:rsidRPr="006D149B" w:rsidRDefault="006D149B" w:rsidP="005E16B2">
            <w:pPr>
              <w:pStyle w:val="tablebullet"/>
              <w:spacing w:after="60"/>
            </w:pPr>
            <w:r>
              <w:t>Título del Manual</w:t>
            </w:r>
          </w:p>
          <w:p w14:paraId="009C452A" w14:textId="02B9691B" w:rsidR="006D149B" w:rsidRPr="006D149B" w:rsidRDefault="006D149B" w:rsidP="005E16B2">
            <w:pPr>
              <w:pStyle w:val="tablebullet"/>
              <w:spacing w:after="60"/>
            </w:pPr>
            <w:r>
              <w:t xml:space="preserve">Hojee el capítulo </w:t>
            </w:r>
            <w:r w:rsidR="008006C6">
              <w:t>“</w:t>
            </w:r>
            <w:r>
              <w:t>¿Qué es Esfera?</w:t>
            </w:r>
            <w:r w:rsidR="008006C6">
              <w:t>”</w:t>
            </w:r>
            <w:r>
              <w:t xml:space="preserve">, que destaca diferentes partes del Manual Esfera y confirme si cada parte menciona el uso del Manual Esfera para la </w:t>
            </w:r>
            <w:r w:rsidR="008006C6">
              <w:t>“</w:t>
            </w:r>
            <w:r>
              <w:t>Respuesta</w:t>
            </w:r>
            <w:r w:rsidR="008006C6">
              <w:t>”</w:t>
            </w:r>
            <w:r>
              <w:t>. Seleccione varios ejemplos de diferentes partes del Manual.</w:t>
            </w:r>
          </w:p>
        </w:tc>
      </w:tr>
      <w:tr w:rsidR="006D149B" w:rsidRPr="00A93E89" w14:paraId="3C131B27" w14:textId="77777777" w:rsidTr="00D97E62">
        <w:trPr>
          <w:cantSplit/>
        </w:trPr>
        <w:tc>
          <w:tcPr>
            <w:tcW w:w="1809" w:type="dxa"/>
            <w:shd w:val="clear" w:color="auto" w:fill="auto"/>
            <w:vAlign w:val="center"/>
          </w:tcPr>
          <w:p w14:paraId="173B52EA" w14:textId="77777777" w:rsidR="006D149B" w:rsidRPr="008721BD" w:rsidRDefault="006D149B" w:rsidP="00FA7F78">
            <w:pPr>
              <w:pStyle w:val="tableheading"/>
            </w:pPr>
            <w:r w:rsidRPr="008721BD">
              <w:t>Recuperación y reconstrucción</w:t>
            </w:r>
          </w:p>
        </w:tc>
        <w:tc>
          <w:tcPr>
            <w:tcW w:w="7819" w:type="dxa"/>
            <w:shd w:val="clear" w:color="auto" w:fill="auto"/>
            <w:vAlign w:val="center"/>
          </w:tcPr>
          <w:p w14:paraId="59E88A9E" w14:textId="77777777" w:rsidR="006D149B" w:rsidRPr="006D149B" w:rsidRDefault="006D149B" w:rsidP="005E16B2">
            <w:pPr>
              <w:pStyle w:val="tablebullet"/>
              <w:spacing w:after="60"/>
            </w:pPr>
            <w:r>
              <w:t>p.10 Introducción</w:t>
            </w:r>
          </w:p>
          <w:p w14:paraId="491AC564" w14:textId="77777777" w:rsidR="006D149B" w:rsidRPr="006D149B" w:rsidRDefault="00740DE3" w:rsidP="005E16B2">
            <w:pPr>
              <w:pStyle w:val="tablebullet"/>
              <w:spacing w:after="60"/>
            </w:pPr>
            <w:r>
              <w:t>p.75</w:t>
            </w:r>
            <w:r w:rsidR="006D149B">
              <w:t xml:space="preserve"> Recuperación temprana y reducción del riesgo</w:t>
            </w:r>
          </w:p>
          <w:p w14:paraId="23137242" w14:textId="77777777" w:rsidR="006D149B" w:rsidRPr="006D149B" w:rsidRDefault="00FB69D2" w:rsidP="005E16B2">
            <w:pPr>
              <w:pStyle w:val="tablebullet"/>
              <w:spacing w:after="60"/>
            </w:pPr>
            <w:r>
              <w:t>p.58</w:t>
            </w:r>
            <w:r w:rsidR="006D149B">
              <w:t xml:space="preserve"> Vulnerabilidad</w:t>
            </w:r>
          </w:p>
        </w:tc>
      </w:tr>
    </w:tbl>
    <w:p w14:paraId="44058474" w14:textId="77777777" w:rsidR="006D149B" w:rsidRPr="006D149B" w:rsidRDefault="006D149B" w:rsidP="005E16B2">
      <w:pPr>
        <w:spacing w:before="0" w:line="240" w:lineRule="auto"/>
      </w:pPr>
    </w:p>
    <w:sectPr w:rsidR="006D149B" w:rsidRPr="006D149B" w:rsidSect="00F51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DE1A1" w14:textId="77777777" w:rsidR="001141A3" w:rsidRDefault="001141A3" w:rsidP="002848CC">
      <w:pPr>
        <w:spacing w:before="0"/>
      </w:pPr>
      <w:r>
        <w:separator/>
      </w:r>
    </w:p>
  </w:endnote>
  <w:endnote w:type="continuationSeparator" w:id="0">
    <w:p w14:paraId="5F4ADCEC" w14:textId="77777777" w:rsidR="001141A3" w:rsidRDefault="001141A3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BB799" w14:textId="77777777" w:rsidR="001141A3" w:rsidRPr="004F1D9A" w:rsidRDefault="001141A3" w:rsidP="00F51600">
    <w:pPr>
      <w:pStyle w:val="Footer"/>
    </w:pPr>
    <w:r>
      <w:t>Módulo B3: Esfera, la reducción/gestión de riesgos de desastre y la resiliencia. 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C616" w14:textId="77777777" w:rsidR="001141A3" w:rsidRPr="00F51600" w:rsidRDefault="001141A3" w:rsidP="00F51600">
    <w:pPr>
      <w:pStyle w:val="Footer"/>
    </w:pPr>
    <w:r>
      <w:t>Módulo B3 – Esfera, la reducción/gestión del riesgo de desastre y la resiliencia</w:t>
    </w:r>
    <w:r>
      <w:tab/>
      <w:t>Paquete de capacitación Esfera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11DAA" w14:textId="77777777" w:rsidR="001141A3" w:rsidRPr="00F51600" w:rsidRDefault="001141A3" w:rsidP="00891199">
    <w:pPr>
      <w:pStyle w:val="Footer"/>
    </w:pPr>
    <w:r>
      <w:t>Módulo B3 – Esfera, la reducción/gestión del riesgo de desastre y la resiliencia</w:t>
    </w:r>
    <w: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73574" w14:textId="77777777" w:rsidR="001141A3" w:rsidRDefault="001141A3" w:rsidP="002848CC">
      <w:pPr>
        <w:spacing w:before="0"/>
      </w:pPr>
      <w:r>
        <w:separator/>
      </w:r>
    </w:p>
  </w:footnote>
  <w:footnote w:type="continuationSeparator" w:id="0">
    <w:p w14:paraId="7B6EB9F7" w14:textId="77777777" w:rsidR="001141A3" w:rsidRDefault="001141A3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D17E3" w14:textId="77777777" w:rsidR="001141A3" w:rsidRPr="004F1D9A" w:rsidRDefault="001141A3" w:rsidP="00891199">
    <w:pPr>
      <w:pStyle w:val="Header"/>
    </w:pPr>
    <w:r>
      <w:t>Impresos</w:t>
    </w:r>
    <w:r>
      <w:tab/>
    </w:r>
    <w:r>
      <w:rPr>
        <w:noProof/>
        <w:lang w:val="en-GB" w:eastAsia="en-GB"/>
      </w:rPr>
      <w:drawing>
        <wp:inline distT="0" distB="0" distL="0" distR="0" wp14:anchorId="1C517BF4" wp14:editId="7D0D071E">
          <wp:extent cx="1854200" cy="381000"/>
          <wp:effectExtent l="0" t="0" r="0" b="0"/>
          <wp:docPr id="1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25B64" w14:textId="77777777" w:rsidR="001141A3" w:rsidRPr="00175CA3" w:rsidRDefault="001141A3" w:rsidP="00891199">
    <w:pPr>
      <w:pStyle w:val="Header"/>
    </w:pPr>
    <w:r>
      <w:t>Impresos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0585B" w14:textId="77777777" w:rsidR="001141A3" w:rsidRPr="003E013F" w:rsidRDefault="001141A3" w:rsidP="00F51600">
    <w:pPr>
      <w:pStyle w:val="Heading1"/>
    </w:pPr>
    <w:r>
      <w:t xml:space="preserve">Módulo B3 – Esfera, la reducción/gestión </w:t>
    </w:r>
    <w:r>
      <w:tab/>
    </w:r>
    <w:r w:rsidRPr="00A001DC">
      <w:rPr>
        <w:color w:val="579305"/>
        <w:szCs w:val="28"/>
      </w:rPr>
      <w:t>Impresos</w:t>
    </w:r>
    <w:r>
      <w:br/>
      <w:t>del riesgo de desastre y la resiliencia</w:t>
    </w:r>
  </w:p>
  <w:p w14:paraId="1D5A6F48" w14:textId="77777777" w:rsidR="001141A3" w:rsidRPr="00792B8B" w:rsidRDefault="001141A3" w:rsidP="008721BD">
    <w:pPr>
      <w:pStyle w:val="Heading2"/>
      <w:pBdr>
        <w:bottom w:val="single" w:sz="4" w:space="4" w:color="004386"/>
      </w:pBdr>
      <w:spacing w:after="0"/>
    </w:pPr>
    <w:r>
      <w:t>¿Cómo puede utilizarse Esfera para apoyar la reducción/gestión del riesgo de desastre y fortalecer la resiliencia de la población afectada?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160E1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9"/>
  </w:num>
  <w:num w:numId="13">
    <w:abstractNumId w:val="8"/>
  </w:num>
  <w:num w:numId="14">
    <w:abstractNumId w:val="5"/>
  </w:num>
  <w:num w:numId="15">
    <w:abstractNumId w:val="6"/>
  </w:num>
  <w:num w:numId="16">
    <w:abstractNumId w:val="5"/>
  </w:num>
  <w:num w:numId="17">
    <w:abstractNumId w:val="6"/>
  </w:num>
  <w:num w:numId="18">
    <w:abstractNumId w:val="1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84A7D"/>
    <w:rsid w:val="001141A3"/>
    <w:rsid w:val="0013229F"/>
    <w:rsid w:val="00144112"/>
    <w:rsid w:val="0015588F"/>
    <w:rsid w:val="001713BA"/>
    <w:rsid w:val="001740C0"/>
    <w:rsid w:val="00175CA3"/>
    <w:rsid w:val="001869EC"/>
    <w:rsid w:val="001C7F2F"/>
    <w:rsid w:val="001D0724"/>
    <w:rsid w:val="001D2A1A"/>
    <w:rsid w:val="001D7A65"/>
    <w:rsid w:val="001F7F75"/>
    <w:rsid w:val="00200D4D"/>
    <w:rsid w:val="00205074"/>
    <w:rsid w:val="002201FF"/>
    <w:rsid w:val="00237D09"/>
    <w:rsid w:val="00241992"/>
    <w:rsid w:val="002848CC"/>
    <w:rsid w:val="002933E5"/>
    <w:rsid w:val="002958E2"/>
    <w:rsid w:val="002B142D"/>
    <w:rsid w:val="002D3B86"/>
    <w:rsid w:val="002F2B87"/>
    <w:rsid w:val="0030064E"/>
    <w:rsid w:val="003020D1"/>
    <w:rsid w:val="00314ADC"/>
    <w:rsid w:val="00315E11"/>
    <w:rsid w:val="00370153"/>
    <w:rsid w:val="003A4483"/>
    <w:rsid w:val="003C469E"/>
    <w:rsid w:val="003C5331"/>
    <w:rsid w:val="003E013F"/>
    <w:rsid w:val="003E2279"/>
    <w:rsid w:val="003E2DB9"/>
    <w:rsid w:val="003F0EB3"/>
    <w:rsid w:val="004231C3"/>
    <w:rsid w:val="0043797B"/>
    <w:rsid w:val="0045590B"/>
    <w:rsid w:val="00463DB5"/>
    <w:rsid w:val="004756DF"/>
    <w:rsid w:val="004D7062"/>
    <w:rsid w:val="004E51B8"/>
    <w:rsid w:val="004F1D9A"/>
    <w:rsid w:val="0050225B"/>
    <w:rsid w:val="00530DEF"/>
    <w:rsid w:val="005751FD"/>
    <w:rsid w:val="00576642"/>
    <w:rsid w:val="00587837"/>
    <w:rsid w:val="005E16B2"/>
    <w:rsid w:val="005E2F76"/>
    <w:rsid w:val="005F6AEE"/>
    <w:rsid w:val="00601FF7"/>
    <w:rsid w:val="00620E7C"/>
    <w:rsid w:val="0063519D"/>
    <w:rsid w:val="00637110"/>
    <w:rsid w:val="006660F8"/>
    <w:rsid w:val="00670F8A"/>
    <w:rsid w:val="0068755A"/>
    <w:rsid w:val="00690F64"/>
    <w:rsid w:val="006A2EB6"/>
    <w:rsid w:val="006C099B"/>
    <w:rsid w:val="006D149B"/>
    <w:rsid w:val="006E74C4"/>
    <w:rsid w:val="007030AE"/>
    <w:rsid w:val="00714CE1"/>
    <w:rsid w:val="00715CA8"/>
    <w:rsid w:val="007217AD"/>
    <w:rsid w:val="007305B4"/>
    <w:rsid w:val="00731755"/>
    <w:rsid w:val="00740DE3"/>
    <w:rsid w:val="00761400"/>
    <w:rsid w:val="00775878"/>
    <w:rsid w:val="00781146"/>
    <w:rsid w:val="00792B8B"/>
    <w:rsid w:val="007A255B"/>
    <w:rsid w:val="007A4412"/>
    <w:rsid w:val="007A7ACB"/>
    <w:rsid w:val="007B3E00"/>
    <w:rsid w:val="007D705A"/>
    <w:rsid w:val="007E479A"/>
    <w:rsid w:val="007F1427"/>
    <w:rsid w:val="008006C6"/>
    <w:rsid w:val="00810AFF"/>
    <w:rsid w:val="00811B63"/>
    <w:rsid w:val="00816A31"/>
    <w:rsid w:val="00825D04"/>
    <w:rsid w:val="008260A5"/>
    <w:rsid w:val="008454CA"/>
    <w:rsid w:val="008647F3"/>
    <w:rsid w:val="008652CA"/>
    <w:rsid w:val="008721BD"/>
    <w:rsid w:val="0087787A"/>
    <w:rsid w:val="00891199"/>
    <w:rsid w:val="008B4444"/>
    <w:rsid w:val="008B7D3C"/>
    <w:rsid w:val="008C16C3"/>
    <w:rsid w:val="008F7DE8"/>
    <w:rsid w:val="0090172B"/>
    <w:rsid w:val="0090692F"/>
    <w:rsid w:val="00914965"/>
    <w:rsid w:val="00925784"/>
    <w:rsid w:val="00937519"/>
    <w:rsid w:val="009516C3"/>
    <w:rsid w:val="00971AD2"/>
    <w:rsid w:val="00981544"/>
    <w:rsid w:val="0098193F"/>
    <w:rsid w:val="00995549"/>
    <w:rsid w:val="009C6C4F"/>
    <w:rsid w:val="009D6A86"/>
    <w:rsid w:val="009D7027"/>
    <w:rsid w:val="009E270C"/>
    <w:rsid w:val="009F0DB6"/>
    <w:rsid w:val="009F2B4B"/>
    <w:rsid w:val="00A001DC"/>
    <w:rsid w:val="00A035E7"/>
    <w:rsid w:val="00A46634"/>
    <w:rsid w:val="00A80DF5"/>
    <w:rsid w:val="00A93DFB"/>
    <w:rsid w:val="00A93E89"/>
    <w:rsid w:val="00A95124"/>
    <w:rsid w:val="00AB088B"/>
    <w:rsid w:val="00AB164E"/>
    <w:rsid w:val="00AB3AC4"/>
    <w:rsid w:val="00AD30D2"/>
    <w:rsid w:val="00AF36C0"/>
    <w:rsid w:val="00B02D21"/>
    <w:rsid w:val="00B16CA6"/>
    <w:rsid w:val="00B347FF"/>
    <w:rsid w:val="00B40995"/>
    <w:rsid w:val="00B572C2"/>
    <w:rsid w:val="00B70E34"/>
    <w:rsid w:val="00B91AAC"/>
    <w:rsid w:val="00BA755A"/>
    <w:rsid w:val="00BE3D5B"/>
    <w:rsid w:val="00C0309C"/>
    <w:rsid w:val="00C32D00"/>
    <w:rsid w:val="00C35B0F"/>
    <w:rsid w:val="00C507F3"/>
    <w:rsid w:val="00D064C5"/>
    <w:rsid w:val="00D221A6"/>
    <w:rsid w:val="00D54219"/>
    <w:rsid w:val="00D61838"/>
    <w:rsid w:val="00D90736"/>
    <w:rsid w:val="00D97E62"/>
    <w:rsid w:val="00DD0F73"/>
    <w:rsid w:val="00DD5C17"/>
    <w:rsid w:val="00DE202F"/>
    <w:rsid w:val="00DE210D"/>
    <w:rsid w:val="00DE21D3"/>
    <w:rsid w:val="00DF2534"/>
    <w:rsid w:val="00E15219"/>
    <w:rsid w:val="00E2620E"/>
    <w:rsid w:val="00E26D30"/>
    <w:rsid w:val="00E568A8"/>
    <w:rsid w:val="00E71C66"/>
    <w:rsid w:val="00E80A2F"/>
    <w:rsid w:val="00E8474E"/>
    <w:rsid w:val="00EA1F0B"/>
    <w:rsid w:val="00EB14C9"/>
    <w:rsid w:val="00ED0A28"/>
    <w:rsid w:val="00EE535D"/>
    <w:rsid w:val="00F25952"/>
    <w:rsid w:val="00F3202B"/>
    <w:rsid w:val="00F51600"/>
    <w:rsid w:val="00F52152"/>
    <w:rsid w:val="00F6032E"/>
    <w:rsid w:val="00F63AA0"/>
    <w:rsid w:val="00F66ABC"/>
    <w:rsid w:val="00F67F82"/>
    <w:rsid w:val="00F87806"/>
    <w:rsid w:val="00F97BB3"/>
    <w:rsid w:val="00FA7F78"/>
    <w:rsid w:val="00FB69D2"/>
    <w:rsid w:val="00FE5F25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14F0650"/>
  <w15:docId w15:val="{E63DC64A-7FBB-4302-8569-691BA208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7D705A"/>
    <w:pPr>
      <w:spacing w:before="120" w:line="280" w:lineRule="atLeast"/>
    </w:pPr>
    <w:rPr>
      <w:bCs/>
      <w:sz w:val="24"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811B63"/>
    <w:pPr>
      <w:pageBreakBefore/>
      <w:spacing w:before="0" w:after="0"/>
      <w:outlineLvl w:val="2"/>
    </w:pPr>
    <w:rPr>
      <w:b/>
      <w:i w:val="0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205074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891199"/>
    <w:rPr>
      <w:rFonts w:ascii="Tahoma" w:eastAsia="Times New Roman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4231C3"/>
    <w:rPr>
      <w:rFonts w:ascii="Tahoma" w:eastAsia="Times New Roman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811B63"/>
    <w:rPr>
      <w:rFonts w:ascii="Tahoma" w:eastAsia="Times New Roman" w:hAnsi="Tahoma" w:cs="Arial"/>
      <w:b/>
      <w:bCs/>
      <w:color w:val="004386"/>
      <w:kern w:val="32"/>
      <w:sz w:val="24"/>
      <w:szCs w:val="24"/>
      <w:lang w:val="en-GB" w:eastAsia="es-ES"/>
    </w:rPr>
  </w:style>
  <w:style w:type="character" w:customStyle="1" w:styleId="Heading4Char">
    <w:name w:val="Heading 4 Char"/>
    <w:aliases w:val="h4 Char"/>
    <w:link w:val="Heading4"/>
    <w:uiPriority w:val="9"/>
    <w:rsid w:val="00F51600"/>
    <w:rPr>
      <w:rFonts w:ascii="Tahoma" w:eastAsia="Times New Roman" w:hAnsi="Tahoma" w:cs="Times New Roman"/>
      <w:b/>
      <w:bCs/>
      <w:color w:val="004386"/>
      <w:kern w:val="32"/>
      <w:sz w:val="24"/>
      <w:szCs w:val="24"/>
      <w:lang w:val="en-GB" w:eastAsia="es-ES"/>
    </w:rPr>
  </w:style>
  <w:style w:type="character" w:customStyle="1" w:styleId="Heading5Char">
    <w:name w:val="Heading 5 Char"/>
    <w:link w:val="Heading5"/>
    <w:rsid w:val="00205074"/>
    <w:rPr>
      <w:b/>
      <w:bCs/>
      <w:i/>
      <w:iCs/>
      <w:sz w:val="26"/>
      <w:szCs w:val="26"/>
      <w:lang w:val="en-US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9D7027"/>
    <w:pPr>
      <w:spacing w:before="80" w:after="80"/>
    </w:pPr>
  </w:style>
  <w:style w:type="paragraph" w:customStyle="1" w:styleId="tableheading">
    <w:name w:val="table heading"/>
    <w:aliases w:val="th"/>
    <w:basedOn w:val="table"/>
    <w:qFormat/>
    <w:rsid w:val="00F25952"/>
    <w:pPr>
      <w:keepNext/>
    </w:pPr>
    <w:rPr>
      <w:rFonts w:ascii="Tahoma" w:hAnsi="Tahoma"/>
      <w:b/>
      <w:color w:val="004386"/>
      <w:sz w:val="20"/>
      <w:szCs w:val="22"/>
    </w:rPr>
  </w:style>
  <w:style w:type="paragraph" w:customStyle="1" w:styleId="bullet">
    <w:name w:val="bullet"/>
    <w:aliases w:val="b"/>
    <w:basedOn w:val="Normal"/>
    <w:qFormat/>
    <w:rsid w:val="00205074"/>
    <w:pPr>
      <w:numPr>
        <w:numId w:val="16"/>
      </w:numPr>
    </w:pPr>
  </w:style>
  <w:style w:type="paragraph" w:customStyle="1" w:styleId="tablebullet">
    <w:name w:val="table bullet"/>
    <w:basedOn w:val="table"/>
    <w:qFormat/>
    <w:rsid w:val="00205074"/>
    <w:pPr>
      <w:numPr>
        <w:numId w:val="17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/>
    </w:rPr>
  </w:style>
  <w:style w:type="character" w:customStyle="1" w:styleId="HeaderChar">
    <w:name w:val="Header Char"/>
    <w:link w:val="Header"/>
    <w:uiPriority w:val="99"/>
    <w:rsid w:val="00891199"/>
    <w:rPr>
      <w:rFonts w:ascii="Tahoma" w:hAnsi="Tahoma" w:cs="Tahoma"/>
      <w:b/>
      <w:bCs/>
      <w:color w:val="579305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/>
      </w:pBdr>
      <w:tabs>
        <w:tab w:val="right" w:pos="9356"/>
      </w:tabs>
      <w:spacing w:before="0" w:line="240" w:lineRule="auto"/>
    </w:pPr>
    <w:rPr>
      <w:rFonts w:ascii="Tahoma" w:hAnsi="Tahoma" w:cs="Tahoma"/>
      <w:color w:val="004386"/>
      <w:sz w:val="18"/>
      <w:szCs w:val="18"/>
    </w:rPr>
  </w:style>
  <w:style w:type="character" w:customStyle="1" w:styleId="FooterChar">
    <w:name w:val="Footer Char"/>
    <w:link w:val="Footer"/>
    <w:uiPriority w:val="99"/>
    <w:rsid w:val="00F51600"/>
    <w:rPr>
      <w:rFonts w:ascii="Tahoma" w:hAnsi="Tahoma" w:cs="Tahoma"/>
      <w:bCs/>
      <w:color w:val="004386"/>
      <w:sz w:val="18"/>
      <w:szCs w:val="18"/>
      <w:lang w:val="en-US" w:eastAsia="es-ES"/>
    </w:rPr>
  </w:style>
  <w:style w:type="character" w:styleId="PageNumber">
    <w:name w:val="page number"/>
    <w:uiPriority w:val="99"/>
    <w:semiHidden/>
    <w:unhideWhenUsed/>
    <w:rsid w:val="00205074"/>
    <w:rPr>
      <w:rFonts w:ascii="Calibri" w:hAnsi="Calibri"/>
    </w:rPr>
  </w:style>
  <w:style w:type="character" w:customStyle="1" w:styleId="logobaselineshift">
    <w:name w:val="logo baseline shift"/>
    <w:uiPriority w:val="1"/>
    <w:rsid w:val="00205074"/>
    <w:rPr>
      <w:noProof/>
      <w:position w:val="-20"/>
    </w:rPr>
  </w:style>
  <w:style w:type="character" w:styleId="FollowedHyperlink">
    <w:name w:val="FollowedHyperlink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spacing w:before="80"/>
      <w:ind w:left="568"/>
    </w:pPr>
  </w:style>
  <w:style w:type="paragraph" w:customStyle="1" w:styleId="Largebodytable">
    <w:name w:val="Large body/table"/>
    <w:basedOn w:val="Normal"/>
    <w:qFormat/>
    <w:rsid w:val="009D7027"/>
    <w:pPr>
      <w:spacing w:before="240" w:after="240" w:line="288" w:lineRule="auto"/>
      <w:ind w:left="113" w:right="113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CeciliaFurtade</cp:lastModifiedBy>
  <cp:revision>3</cp:revision>
  <cp:lastPrinted>2015-01-05T10:17:00Z</cp:lastPrinted>
  <dcterms:created xsi:type="dcterms:W3CDTF">2015-02-23T17:24:00Z</dcterms:created>
  <dcterms:modified xsi:type="dcterms:W3CDTF">2015-02-24T13:59:00Z</dcterms:modified>
</cp:coreProperties>
</file>